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九三学社天津市委员会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sectPr>
          <w:pgSz w:w="12240" w:h="15840"/>
          <w:pgMar w:top="1440" w:right="1800" w:bottom="1440" w:left="1800" w:header="720" w:footer="720" w:gutter="0"/>
          <w:pgNumType w:fmt="decimal"/>
          <w:cols w:space="720" w:num="1"/>
        </w:sect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在中共天津市委和九三学社中央的领导下，以习近平新时代中国特色社会主义思想为指导，弘扬爱国、民主、科学的优良传统，为国家和天津的经济社会发展认真履行参政议政、民主监督、参加中国共产党领导的政治协商的职能，为国家和天津经济社会发展做出积极贡献。</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九三学社天津市委员会内设7个职能处室。纳入九三学社天津市委员会2023年度部门决算编制范围的单位包括：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九三学社天津市委员会（本级）1个行政单位。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1.九三学社天津市委员会2023年度政府性基金预算财政拨款收入支出决算表为空表。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2.九三学社天津市委员会2023年度国有资本经营预算财政拨款收入支出决算表为空表。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九三学社天津市委员会2023年度收入、支出决算总计</w:t>
      </w:r>
      <w:r>
        <w:rPr>
          <w:rFonts w:hint="eastAsia" w:ascii="Times New Roman" w:hAnsi="Times New Roman" w:eastAsia="仿宋_GB2312" w:cs="仿宋_GB2312"/>
          <w:sz w:val="30"/>
          <w:szCs w:val="30"/>
          <w:highlight w:val="none"/>
          <w:lang w:eastAsia="zh-CN"/>
        </w:rPr>
        <w:t>10,757,657.56元，与2022年度相比，收、支总计各增加571,035.86元，增长5.61%，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：人员增加导致的人员经费增加、搬到党派大楼运转类公用经费减少、业务经费增加共同所致。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10,755,846.27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增加570,477.02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人员增加导致的人员经费增加、搬到党派大楼运转类公用经费减少、业务经费增加共同所致。</w:t>
      </w:r>
    </w:p>
    <w:p>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10,753,306.96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2,539.31元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10,755,001.03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583,040.62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人员经费增加和运转类公用经费减少、业务经费增加共同所致，2022年受疫情影响，各项活动开展受限，业务活动经费减少，2023年基本恢复正常。</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9,728,189.64元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90.45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1,026,811.39元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占9.55%。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九三学社天津市委员会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10,753,306.96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569,571.66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人员经费增加和运转类公用经费减少、业务经费增加共同所致，2022年受疫情影响，各项活动开展受限，业务活动经费减少，2023年基本恢复正常。</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计10,753,306.96元，占本年支出合计的99.98%，与2022年度相比，一般公共预算财政拨款支出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582,421.66元，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5.73%，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：人员增加导致的人员经费增加、搬到党派大楼运转类公用经费减少、业务经费增加共同所致。</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10,753,306.96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一般公共服务支出9,324,615.52元，占86.71%；社会保障和就业支出934,151.52元，占8.69%；卫生健康支出494,539.92元，占4.6%。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11,026,000.00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10,753,306.96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97.53%</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民主党派及工商联事务（款）行政运行（项）年初预算为8,485,000元，支出决算为8,297,804.13元，完成年初预算的97.79%，决算数小于年初预算数的主要原因是搬到党派大楼运转类公用经费减少、过“紧日子”压缩支出共同所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一般公共服务支出（类）民主党派及工商联事务（款）一般行政管理事务（项）年初预算为485,000.00元，支出决算为474,775.55元，完成年初预算的97.89%，决算数小于年初预算数的主要原因是上年结转的75,000元中央专项经费不在年初预算，本年预算中信息系统运维77,000元未支付，其中：网站运维预算为70,000元，机关网站按市委统战部要求并入津云，由统战部统一支付运维费，机关只支付原服务商尾款6,000元；OA运维费13,000元因OA系统停止使用不再支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一般公共服务支出（类）民主党派及工商联事务（款）参政议政（项）年初预算为500,000.00元，支出决算为400,699.84元，完成年初预算的80.14%，决算数小于年初预算数的主要原因是按过“紧日子”要求压缩支出，业务活动经费减少；原打算节约会议费和培训费调剂到差旅费中使用，因不满足调剂要求未能获批，故有部分资金未能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基本养老保险缴费支出（项）年初预算为673,000.00元，支出决算为622,767.68元，完成年初预算的92.54%，决算数小于年初预算数的主要原因是在职人员提前退休，养老保险缴费支出减少。</w:t>
      </w:r>
    </w:p>
    <w:p>
      <w:pPr>
        <w:numPr>
          <w:ilvl w:val="0"/>
          <w:numId w:val="0"/>
        </w:numPr>
        <w:autoSpaceDE w:val="0"/>
        <w:autoSpaceDN w:val="0"/>
        <w:adjustRightInd w:val="0"/>
        <w:spacing w:line="600" w:lineRule="exact"/>
        <w:ind w:firstLine="600" w:firstLineChars="20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5. 社会保障和就业支出（类）行政事业单位养老支出（款）机关事业单位职业年金缴费支出（项）年初预算为337,000.00元，支出决算为311,383.84元，完成年初预算的92.4%，决算数小于年初预算数的主要原因是在职人员提前退休，职业年金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行政单位医疗（项）年初预算为462,000.00元，支出决算为416,693.96元，完成年初预算的90.19%，决算数小于年初预算数的主要原因是在职人员提前退休，医疗保险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公务员医疗补助（项）年初预算为84,000.00元，支出决算为77,845.96元，完成年初预算的92.67%，决算数小于年初预算数的主要原因是在职人员提前退休，公务员医疗补助缴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九三学社天津市委员会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9,726,495.57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357,467.77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人员增加导致的人员经费增加、搬到党派大楼运转类公用经费减少。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8,583,796.62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医疗费补助等；</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1,142,698.95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维修(护)费、租赁费、会议费、培训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九三学社天津市委员会2023年度无政府性基金预算财政拨款收入、支出和结转结余。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九三学社天津市委员会2023年度无国有资本经营预算财政拨款收入、支出和结转结余。</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10,315.00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5,685.00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64.47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6,315.00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157.88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压缩支出，严控“三公”经费支出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公务用车运行维护费加油费节约；202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年公务接待活动增多。</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3,218.00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782.00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782.00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19.55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加油费节约。</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3,218.00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782.00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782.00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19.55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加油费节约。</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本年未用财政拨款经费购置公务用车。</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7,097.00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4,903.00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59.14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7,097.00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压缩支出，严控接待</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公务接待次数增多。</w:t>
      </w:r>
    </w:p>
    <w:p>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九三学社天津市委员会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1,142,698.95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389,150.14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25.4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2023年基本支出中的日常公用经费不再包括业务费支出，且2023年进一步压缩日常公用经费共同所致。</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九三学社天津市委员会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16,083.00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16,083.00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16,083.00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16,083.00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九三学社天津市委员会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为多年前已处置但因手续不全不能销账的车辆。</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firstLineChars="2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根据预算绩效管理要求，九三学社天津市委员会2023年度已对5个市级项目开展绩效自评，涉及金额1,136,336元，自评结果已随部门决算一并公开；本部门2023年度已对1个项目开展部门评价，涉及金额75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xml:space="preserve">九三学社天津市委员会不属于乡、镇、街级单位，不涉及公开2023年度教育、医疗卫生、社会保障和就业、住房保障、涉农补贴等民生支出情况。 </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cs="Times New Roman"/>
                              <w:sz w:val="28"/>
                              <w:szCs w:val="28"/>
                            </w:rPr>
                            <w:t>—</w:t>
                          </w:r>
                          <w:sdt>
                            <w:sdtPr>
                              <w:rPr>
                                <w:rFonts w:ascii="Times New Roman" w:hAnsi="Times New Roman" w:cs="Times New Roman"/>
                                <w:sz w:val="28"/>
                                <w:szCs w:val="28"/>
                              </w:rPr>
                              <w:id w:val="-874853471"/>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r>
                      <w:rPr>
                        <w:rFonts w:ascii="Times New Roman" w:hAnsi="Times New Roman" w:cs="Times New Roman"/>
                        <w:sz w:val="28"/>
                        <w:szCs w:val="28"/>
                      </w:rPr>
                      <w:t>—</w:t>
                    </w:r>
                    <w:sdt>
                      <w:sdtPr>
                        <w:rPr>
                          <w:rFonts w:ascii="Times New Roman" w:hAnsi="Times New Roman" w:cs="Times New Roman"/>
                          <w:sz w:val="28"/>
                          <w:szCs w:val="28"/>
                        </w:rPr>
                        <w:id w:val="-874853471"/>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DC475"/>
    <w:multiLevelType w:val="singleLevel"/>
    <w:tmpl w:val="799DC4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OTdhODZjZmExN2I3Y2RiOTI0ZGIwZjQ4YjZiYmQifQ=="/>
    <w:docVar w:name="KSO_WPS_MARK_KEY" w:val="fdadc9c3-3075-4f7b-ae51-84716d452728"/>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B6BA2"/>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3F6879"/>
    <w:rsid w:val="09864BCA"/>
    <w:rsid w:val="0A7D5D1A"/>
    <w:rsid w:val="0AF018E5"/>
    <w:rsid w:val="0B1428B6"/>
    <w:rsid w:val="0B2716A6"/>
    <w:rsid w:val="0B2E72C7"/>
    <w:rsid w:val="0C411F0C"/>
    <w:rsid w:val="0CDD71F7"/>
    <w:rsid w:val="0D646FD0"/>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5FD5DBC"/>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352E7D"/>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B27A77"/>
    <w:rsid w:val="40CF0629"/>
    <w:rsid w:val="4137238C"/>
    <w:rsid w:val="41CC0838"/>
    <w:rsid w:val="42756FAE"/>
    <w:rsid w:val="43612B5A"/>
    <w:rsid w:val="43805C0B"/>
    <w:rsid w:val="43B835F7"/>
    <w:rsid w:val="44552CED"/>
    <w:rsid w:val="448B4867"/>
    <w:rsid w:val="44EB17AA"/>
    <w:rsid w:val="45984C48"/>
    <w:rsid w:val="47727F60"/>
    <w:rsid w:val="47F9731A"/>
    <w:rsid w:val="485D29BF"/>
    <w:rsid w:val="49374433"/>
    <w:rsid w:val="49DA103E"/>
    <w:rsid w:val="4A2319E6"/>
    <w:rsid w:val="4A8E57CD"/>
    <w:rsid w:val="4BD36D69"/>
    <w:rsid w:val="4CA13CE1"/>
    <w:rsid w:val="4CD450D8"/>
    <w:rsid w:val="4D14664A"/>
    <w:rsid w:val="4D210FC7"/>
    <w:rsid w:val="4D720D77"/>
    <w:rsid w:val="4DB9688D"/>
    <w:rsid w:val="4DE65314"/>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D04458"/>
    <w:rsid w:val="5DFB2606"/>
    <w:rsid w:val="5E015742"/>
    <w:rsid w:val="5EB1144C"/>
    <w:rsid w:val="5EF37781"/>
    <w:rsid w:val="5F6D7131"/>
    <w:rsid w:val="5F7856C5"/>
    <w:rsid w:val="5FF67529"/>
    <w:rsid w:val="615900E7"/>
    <w:rsid w:val="61D75AE1"/>
    <w:rsid w:val="620B43D3"/>
    <w:rsid w:val="624C1682"/>
    <w:rsid w:val="63B80927"/>
    <w:rsid w:val="6410048D"/>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470C9F"/>
    <w:rsid w:val="6CCD3B97"/>
    <w:rsid w:val="6CF70A69"/>
    <w:rsid w:val="6CFE17CB"/>
    <w:rsid w:val="6D5E0469"/>
    <w:rsid w:val="6D854C1A"/>
    <w:rsid w:val="6E080CF4"/>
    <w:rsid w:val="6EB34837"/>
    <w:rsid w:val="70180DF5"/>
    <w:rsid w:val="704716DB"/>
    <w:rsid w:val="708C6A78"/>
    <w:rsid w:val="70A95915"/>
    <w:rsid w:val="70E84C6C"/>
    <w:rsid w:val="70FE35D3"/>
    <w:rsid w:val="71600CA6"/>
    <w:rsid w:val="7260119C"/>
    <w:rsid w:val="72701CEB"/>
    <w:rsid w:val="727C342A"/>
    <w:rsid w:val="72B3615B"/>
    <w:rsid w:val="73724CC1"/>
    <w:rsid w:val="7455465F"/>
    <w:rsid w:val="75134583"/>
    <w:rsid w:val="75AB44BA"/>
    <w:rsid w:val="79B7155B"/>
    <w:rsid w:val="79DC07A5"/>
    <w:rsid w:val="7ACA53E2"/>
    <w:rsid w:val="7B143565"/>
    <w:rsid w:val="7B2A7C2F"/>
    <w:rsid w:val="7E2E7A36"/>
    <w:rsid w:val="7E703A39"/>
    <w:rsid w:val="7EBE0DBA"/>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4847</Words>
  <Characters>5745</Characters>
  <Lines>82</Lines>
  <Paragraphs>23</Paragraphs>
  <TotalTime>0</TotalTime>
  <ScaleCrop>false</ScaleCrop>
  <LinksUpToDate>false</LinksUpToDate>
  <CharactersWithSpaces>5803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vv</cp:lastModifiedBy>
  <cp:lastPrinted>2024-08-27T08:10:00Z</cp:lastPrinted>
  <dcterms:modified xsi:type="dcterms:W3CDTF">2024-08-29T06:26:17Z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FAF8CA9AED894C83BD9E970EE9D7DBDC_13</vt:lpwstr>
  </property>
</Properties>
</file>