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九三学社天津市委员会</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10</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在中共天津市委和九三学社中央的领导下，以习近平新时代中国特色社会主义思想为指导，弘扬爱国、民主、科学的优良传统，为国家和天津的经济社会发展认真履行参政议政、民主监督、参加中国共产党领导的政治协商的职能，为国家和天津经济社会发展做出积极贡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九三学社天津市委员会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部门本级（内设7个职能处室）。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九三学社天津市委员会</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11328464.74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9828239.41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980449.68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521335.65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1283.20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11329747.94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11330024.74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276.80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276.80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11330024.74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11330024.74</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11329747.94</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11328464.74</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1283.20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9827962.61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9826679.41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1283.20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民主党派及工商联事务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9827962.61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9826679.41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1283.20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9050877.44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9049594.24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1283.20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一般行政管理事务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153400.00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153400.00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参政议政</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623685.17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623685.17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980449.68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980449.68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980449.68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980449.68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653633.12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653633.12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326816.56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326816.56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521335.65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521335.65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521335.65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521335.65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439631.51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439631.51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81704.14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81704.14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九三学社天津市委员会</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11330024.74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11329747.94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11328464.74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1283.20</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556101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九三学社天津市委员会</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11330024.74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11329747.94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11328464.74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1283.20</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九三学社天津市委员会</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276.80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276.80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276.80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556101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九三学社天津市委员会</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276.80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276.80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276.80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11330024.74</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10552939.57</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777085.17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9828239.41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9051154.24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777085.17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民主党派及工商联事务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9828239.41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9051154.24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777085.17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9051154.24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9051154.24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一般行政管理事务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153400.00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153400.00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参政议政</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623685.17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623685.17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980449.68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980449.68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980449.68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980449.68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653633.12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653633.12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326816.56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326816.56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521335.65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521335.65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521335.65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521335.65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439631.51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439631.51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81704.14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81704.14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11328464.74</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9826679.41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9826679.41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980449.68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980449.68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521335.65</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521335.65</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11328464.74</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11328464.74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11328464.74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11328464.74</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11328464.74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11328464.74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九三学社天津市委员会</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11328464.74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10551379.57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9564352.68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987026.89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777085.17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9826679.41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9049594.24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8062567.35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987026.89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777085.17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民主党派及工商联事务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9826679.41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9049594.24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8062567.35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987026.89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777085.17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9049594.24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9049594.24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8062567.35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987026.89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一般行政管理事务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153400.00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153400.00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参政议政</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623685.17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623685.17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980449.68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980449.68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980449.68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980449.68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980449.68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980449.68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653633.12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653633.12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653633.12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326816.56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326816.56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326816.56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521335.65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521335.65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521335.65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521335.65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521335.65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521335.65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439631.51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439631.51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439631.51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81704.14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81704.14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81704.14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9154320.90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974232.89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1809421.00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12794.00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1843190.80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1712162.00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2027.00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12794.00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653633.12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30913.67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326816.56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408520.70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81704.14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31684.58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1959748.00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327440.00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410031.78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235215.80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9567.00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164132.08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62400.00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10683.90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66000.00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84807.95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299000.00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355517.27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9564352.68</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987026.89</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九三学社天津市委员会2025年度政府性基金预算财政拨款收入支出决算表为空表。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九三学社天津市委员会2025年度国有资本经营预算财政拨款收入支出决算表为空表。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13567.00</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4000.00</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4000.00</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9567.00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九三学社天津市委员会</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777085.17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777085.17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777085.17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777085.17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民主党派及工商联事务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777085.17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777085.17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一般行政管理事务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153400.00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153400.00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参政议政</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623685.17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623685.17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11,330,024.74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增加1,131,416.02元，增长11.09%</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2025年比2024年增加1人，人员调整导致人员和公用经费均有不同程度增加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一般公共预算财政拨款收入11,328,464.74元、其他收入1,283.20元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一般公共服务支出9,828,239.41元、社会保障和就业支出980,449.68元、卫生健康支出521,335.65元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九三学社天津市委员会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11,329,747.94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增加1,133,795.75元，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2025年比2024年增加1人，人员调整导致人员和公用经费均有不同程度增加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一般公共预算财政拨款收入11,328,464.74元，占99.99%；其他收入1,283.20元，占0.01%</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九三学社天津市委员会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11,330,024.74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增加1,134,780.15元，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2025年比2024年增加1人，人员调整导致人员和公用经费均有不同程度增加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基本支出10,552,939.57元，占93.14%；项目支出777,085.17元，占6.86%</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11,328,464.74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增加1,134,200.15元，增长11.13%，</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2025年比2024年增加1人，人员调整导致人员和公用经费均有不同程度增加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一般公共预算财政拨款11,328,464.74元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一般公共服务支出9,826,679.41元、社会保障和就业支出980,449.68元、卫生健康支出521,335.65元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九三学社天津市委员会2025年度一般公共预算财政拨款支出合计11,328,464.74元，占本年支出合计的99.99%。与2024年度相比，一般公共预算财政拨款支出</w:t>
      </w:r>
      <w:r>
        <w:rPr>
          <w:rFonts w:eastAsia="仿宋_GB2312" w:hint="eastAsia"/>
          <w:sz w:val="30"/>
          <w:szCs w:val="30"/>
          <w:highlight w:val="none"/>
          <w:lang w:val="en-US" w:eastAsia="zh-CN"/>
        </w:rPr>
        <w:t xml:space="preserve">增加1,134,200.15元</w:t>
      </w:r>
      <w:r>
        <w:rPr>
          <w:rFonts w:eastAsia="仿宋_GB2312" w:hint="eastAsia"/>
          <w:sz w:val="30"/>
          <w:szCs w:val="30"/>
          <w:highlight w:val="none"/>
          <w:lang w:val="en-US" w:eastAsia="zh-CN"/>
        </w:rPr>
        <w:t xml:space="preserve">，增长11.13%</w:t>
      </w:r>
      <w:r>
        <w:rPr>
          <w:rFonts w:eastAsia="仿宋_GB2312" w:hint="eastAsia"/>
          <w:sz w:val="30"/>
          <w:szCs w:val="30"/>
          <w:highlight w:val="none"/>
          <w:lang w:val="en-US" w:eastAsia="zh-CN"/>
        </w:rPr>
        <w:t xml:space="preserve">，主要原因是2025年比2024年增加1人，人员调整导致人员和公用经费均有不同程度增加。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2025年度一般公共预算财政拨款支出11,328,464.74元，主要用于以下方面：</w:t>
      </w:r>
      <w:r>
        <w:rPr>
          <w:rFonts w:eastAsia="仿宋_GB2312" w:hint="eastAsia"/>
          <w:sz w:val="30"/>
          <w:szCs w:val="30"/>
          <w:highlight w:val="none"/>
        </w:rPr>
        <w:t xml:space="preserve">一般公共服务支出（类）支出9,826,679.41元，占86.74%，社会保障和就业支出（类）支出980,449.68元，占8.66%，卫生健康支出（类）支出521,335.65元，占4.60%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2025年度一般公共预算财政拨款支出年初预算为10,745,400.00元，支出决算为11,328,464.74元</w:t>
      </w:r>
      <w:r>
        <w:rPr>
          <w:rFonts w:eastAsia="仿宋_GB2312" w:hint="eastAsia"/>
          <w:sz w:val="30"/>
          <w:szCs w:val="30"/>
          <w:highlight w:val="none"/>
          <w:lang w:val="en-US" w:eastAsia="zh-CN"/>
        </w:rPr>
        <w:t xml:space="preserve">，完成年初预算的105.43%</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1.一般公共服务支出（类）民主党派及工商联事务（款）行政运行（项）年初预算为8,260,000.00元，支出决算为9,049,594.24元，完成年初预算的109.56%，决算数大于年初预算数的主要原因是：年中追加人员经费。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民主党派及工商联事务（款）一般行政管理事务（项）年初预算为153,400.00元，支出决算为153,400.00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一般公共服务支出（类）民主党派及工商联事务（款）参政议政（项）年初预算为800,000.00元，支出决算为623,685.17元，完成年初预算的77.96%，决算数小于年初预算数的主要原因是：过“紧日子”，严格控制支出，精简会议、培训等支出所致。</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基本养老保险缴费支出（项）年初预算为663,000.00元，支出决算为653,633.12元，完成年初预算的98.59%，决算数小于年初预算数的主要原因是：预算数与实际支付数之间的尾数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职业年金缴费支出（项）年初预算为331,000.00元，支出决算为326,816.56元，完成年初预算的98.74%，决算数小于年初预算数的主要原因是：预算数与实际支付数之间的尾数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行政单位医疗（项）年初预算为455,000.00元，支出决算为439,631.51元，完成年初预算的96.62%，决算数小于年初预算数的主要原因是：预算数与实际支付数之间的尾数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公务员医疗补助（项）年初预算为83,000.00元，支出决算为81,704.14元，完成年初预算的98.44%，决算数小于年初预算数的主要原因是：预算数与实际支付数之间的尾数差异。</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九三学社天津市委员会2025年度一般公共预算财政拨款基本支出合计10,551,379.57元，与2024年度相比</w:t>
      </w:r>
      <w:r>
        <w:rPr>
          <w:rFonts w:eastAsia="仿宋_GB2312" w:hint="eastAsia"/>
          <w:sz w:val="30"/>
          <w:szCs w:val="30"/>
          <w:highlight w:val="none"/>
          <w:lang w:val="en-US" w:eastAsia="zh-CN"/>
        </w:rPr>
        <w:t xml:space="preserve">增加1,076,735.75元，</w:t>
      </w:r>
      <w:r>
        <w:rPr>
          <w:rFonts w:eastAsia="仿宋_GB2312" w:hint="eastAsia"/>
          <w:sz w:val="30"/>
          <w:szCs w:val="30"/>
          <w:highlight w:val="none"/>
          <w:lang w:val="en-US" w:eastAsia="zh-CN"/>
        </w:rPr>
        <w:t xml:space="preserve">主要原因是2025年比2024年增加1人，人员调整导致人员和公用经费支出均有不同程度增加。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人员经费9,564,352.68元，主要包括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公用经费987,026.89元，主要包括</w:t>
      </w:r>
      <w:r>
        <w:rPr>
          <w:rFonts w:eastAsia="仿宋_GB2312" w:hint="eastAsia"/>
          <w:sz w:val="30"/>
          <w:szCs w:val="30"/>
          <w:highlight w:val="none"/>
          <w:lang w:val="en-US" w:eastAsia="zh-CN"/>
        </w:rPr>
        <w:t xml:space="preserve">办公费、手续费、水费、电费、邮电费、维修(护)费、公务接待费、劳务费、委托业务费、工会经费、福利费、公务用车运行维护费、其他交通费用、其他商品和服务支出、办公设备购置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14,000.00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13,567.00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减少433.00元</w:t>
      </w:r>
      <w:r>
        <w:rPr>
          <w:rFonts w:eastAsia="仿宋_GB2312" w:hint="eastAsia"/>
          <w:sz w:val="30"/>
          <w:szCs w:val="30"/>
          <w:highlight w:val="none"/>
          <w:lang w:val="en-US" w:eastAsia="zh-CN"/>
        </w:rPr>
        <w:t xml:space="preserve">，完成预算的96.91%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支出决算较上年增加117.00元</w:t>
      </w:r>
      <w:r>
        <w:rPr>
          <w:rFonts w:eastAsia="仿宋_GB2312" w:hint="eastAsia"/>
          <w:sz w:val="30"/>
          <w:szCs w:val="30"/>
          <w:highlight w:val="none"/>
          <w:lang w:val="en-US" w:eastAsia="zh-CN"/>
        </w:rPr>
        <w:t xml:space="preserve">，增长0.87%</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决算数小于预算数的主要原因是厉行节约，合理安排“三公”经费支出，公务接待费压减支出成效显著；</w:t>
      </w:r>
      <w:r>
        <w:rPr>
          <w:rFonts w:eastAsia="仿宋_GB2312" w:hint="eastAsia"/>
          <w:sz w:val="30"/>
          <w:szCs w:val="30"/>
          <w:highlight w:val="none"/>
          <w:lang w:val="en-US" w:eastAsia="zh-CN"/>
        </w:rPr>
        <w:t xml:space="preserve">决算数较上年增加的主要原因是接待批次和接待人次都比2024年有所增加，公务接待费用有所增加。</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决算数与预算数持平的主要原因是严格按预算执行，合理安排公车使用，严控公务用车运维费支出；</w:t>
      </w:r>
      <w:r>
        <w:rPr>
          <w:rFonts w:eastAsia="仿宋_GB2312" w:hint="eastAsia"/>
          <w:sz w:val="30"/>
          <w:szCs w:val="30"/>
          <w:highlight w:val="none"/>
          <w:lang w:val="en-US" w:eastAsia="zh-CN"/>
        </w:rPr>
        <w:t xml:space="preserve">决算数较上年持平的主要原因是严格按预算执行，合理安排公车使用，严控公务用车运维费支出。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决算数与预算数持平的主要原因是严格按预算执行，合理安排公车使用，严控公务用车运维费支出；</w:t>
      </w:r>
      <w:r>
        <w:rPr>
          <w:rFonts w:eastAsia="仿宋_GB2312" w:hint="eastAsia"/>
          <w:sz w:val="30"/>
          <w:szCs w:val="30"/>
          <w:highlight w:val="none"/>
          <w:lang w:val="en-US" w:eastAsia="zh-CN"/>
        </w:rPr>
        <w:t xml:space="preserve">决算数较上年持平的主要原因是严格按预算执行，合理安排公车使用，严控公务用车运维费支出。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其中：2辆为机关事务管理局所有。</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9,567.00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减少433.00元</w:t>
      </w:r>
      <w:r>
        <w:rPr>
          <w:rFonts w:eastAsia="仿宋_GB2312" w:hint="eastAsia"/>
          <w:sz w:val="30"/>
          <w:szCs w:val="30"/>
          <w:highlight w:val="none"/>
          <w:lang w:val="en-US" w:eastAsia="zh-CN"/>
        </w:rPr>
        <w:t xml:space="preserve">，完成预算的95.67%</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支出决算较上年增加117.00元</w:t>
      </w:r>
      <w:r>
        <w:rPr>
          <w:rFonts w:eastAsia="仿宋_GB2312" w:hint="eastAsia"/>
          <w:sz w:val="30"/>
          <w:szCs w:val="30"/>
          <w:highlight w:val="none"/>
          <w:lang w:val="en-US" w:eastAsia="zh-CN"/>
        </w:rPr>
        <w:t xml:space="preserve">，增长1.24%</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决算数小于预算数的主要原因是厉行节约，合理安排公务接待活动，2025年公务接待费压减支出成效显著；</w:t>
      </w:r>
      <w:r>
        <w:rPr>
          <w:rFonts w:eastAsia="仿宋_GB2312" w:hint="eastAsia"/>
          <w:sz w:val="30"/>
          <w:szCs w:val="30"/>
          <w:highlight w:val="none"/>
          <w:lang w:val="en-US" w:eastAsia="zh-CN"/>
        </w:rPr>
        <w:t xml:space="preserve">决算数较上年增加的主要原因是接待批次和接待人次都比2024年有所增加，公务接待费用有所增加。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6</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39</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九三学社天津市委员会2025年度机关运行经费年初预算1,028,000.00元，决算数987,026.89元，与年初预算相比</w:t>
      </w:r>
      <w:r>
        <w:rPr>
          <w:rFonts w:eastAsia="仿宋_GB2312" w:hint="eastAsia"/>
          <w:sz w:val="30"/>
          <w:szCs w:val="30"/>
          <w:highlight w:val="none"/>
          <w:lang w:val="en-US" w:eastAsia="zh-CN"/>
        </w:rPr>
        <w:t xml:space="preserve">减少40,973.11元，</w:t>
      </w:r>
      <w:r>
        <w:rPr>
          <w:rFonts w:eastAsia="仿宋_GB2312" w:hint="eastAsia"/>
          <w:sz w:val="30"/>
          <w:szCs w:val="30"/>
          <w:highlight w:val="none"/>
          <w:lang w:val="en-US" w:eastAsia="zh-CN"/>
        </w:rPr>
        <w:t xml:space="preserve">完成年初预算的96.01%；</w:t>
      </w:r>
      <w:r>
        <w:rPr>
          <w:rFonts w:eastAsia="仿宋_GB2312" w:hint="eastAsia"/>
          <w:sz w:val="30"/>
          <w:szCs w:val="30"/>
          <w:highlight w:val="none"/>
          <w:lang w:val="en-US" w:eastAsia="zh-CN"/>
        </w:rPr>
        <w:t xml:space="preserve">比2024年增加46,319.69元</w:t>
      </w:r>
      <w:r>
        <w:rPr>
          <w:rFonts w:eastAsia="仿宋_GB2312" w:hint="eastAsia"/>
          <w:sz w:val="30"/>
          <w:szCs w:val="30"/>
          <w:highlight w:val="none"/>
          <w:lang w:val="en-US" w:eastAsia="zh-CN"/>
        </w:rPr>
        <w:t xml:space="preserve">，增长4.92%</w:t>
      </w:r>
      <w:r>
        <w:rPr>
          <w:rFonts w:eastAsia="仿宋_GB2312" w:hint="eastAsia"/>
          <w:sz w:val="30"/>
          <w:szCs w:val="30"/>
          <w:highlight w:val="none"/>
          <w:lang w:val="en-US" w:eastAsia="zh-CN"/>
        </w:rPr>
        <w:t xml:space="preserve">。主要原因是：因2025年增加一人，其他交通费、残疾人就业保障金增加等导致机关运行经费比2024年有所增加。</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2025年政府采购支出总额17,792.20元，其中：政府采购货物支出17,792.20元、政府采购工程支出0.00元、政府采购服务支出0.00元。授予中小企业合同金额17,792.20元，占政府采购支出总额的100.00%，其中：授予小微企业合同金额17,792.20元，占政府采购支出总额的100.00%；货物采购授予中小企业合同金额占货物支出金额的100.00%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九三学社天津市委员会2025年度无国有资产占有使用情况。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根据预算绩效管理要求，九三学社天津市委员会已对4个2025年度市级项目开展绩效自评，涉及金额953,400.00元，自评结果已随部门决算一并公开。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本部门2025年度已对1个项目开展部门评价，涉及金额800,000.00元。</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九三学社天津市委员会不属于乡、镇、街级单位，不涉及公开2025年度教育、医疗卫生、社会保障和就业、住房保障、涉农补贴等民生支出情况。 </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51085C20-AE99-4FDF-8A3B-E16D00ADDEC5}"/>
    <w:embedBold r:id="rId2" w:subsetted="1" w:fontKey="{0BC7A41D-784B-4D86-92B8-5F3657D179A8}"/>
  </w:font>
  <w:font w:name="Cambria">
    <w:panose1 w:val="02040503050406030204"/>
    <w:charset w:val="00"/>
    <w:family w:val="roman"/>
    <w:pitch w:val="default"/>
    <w:sig w:usb0="E00006FF" w:usb1="420024FF" w:usb2="02000000" w:usb3="00000000" w:csb0="2000019F" w:csb1="00000000"/>
    <w:embedRegular r:id="rId3" w:fontKey="{F4FDD8B1-EA5C-4CF8-B740-DB626725B876}"/>
  </w:font>
  <w:font w:name="Calibri">
    <w:panose1 w:val="020F0502020204030204"/>
    <w:charset w:val="00"/>
    <w:family w:val="swiss"/>
    <w:pitch w:val="default"/>
    <w:sig w:usb0="E4002EFF" w:usb1="C200247B" w:usb2="00000009" w:usb3="00000000" w:csb0="200001FF" w:csb1="00000000"/>
    <w:embedRegular r:id="rId4" w:fontKey="{AC8ED09C-8577-4EAC-AF41-2C1D6A3F2B6C}"/>
  </w:font>
  <w:font w:name="黑体">
    <w:panose1 w:val="02010609060101010101"/>
    <w:charset w:val="FFFFFF86"/>
    <w:family w:val="auto"/>
    <w:pitch w:val="default"/>
    <w:sig w:usb0="800002BF" w:usb1="38CF7CFA" w:usb2="00000016" w:usb3="00000000" w:csb0="00040001" w:csb1="00000000"/>
    <w:embedRegular r:id="rId5" w:subsetted="1" w:fontKey="{75A95FFE-BD4D-403B-8526-AE333FA5C5E4}"/>
    <w:embedBold r:id="rId6" w:subsetted="1" w:fontKey="{8F94605E-3358-4484-9B93-3E737B2F8419}"/>
  </w:font>
  <w:font w:name="方正小标宋简体">
    <w:altName w:val="黑体"/>
    <w:panose1 w:val="02000000000000000000"/>
    <w:charset w:val="FFFFFF86"/>
    <w:family w:val="auto"/>
    <w:pitch w:val="default"/>
    <w:sig w:usb0="00000001" w:usb1="08000000" w:usb2="00000000" w:usb3="00000000" w:csb0="00040000" w:csb1="00000000"/>
    <w:embedRegular r:id="rId7" w:fontKey="{AD063883-7F40-4A14-B5AC-4E16434A2768}"/>
    <w:embedBold r:id="rId8" w:fontKey="{43972813-E9FE-4A19-9511-E8E64759A6F7}"/>
  </w:font>
  <w:font w:name="仿宋">
    <w:panose1 w:val="02010609060101010101"/>
    <w:charset w:val="FFFFFF86"/>
    <w:family w:val="auto"/>
    <w:pitch w:val="default"/>
    <w:sig w:usb0="800002BF" w:usb1="38CF7CFA" w:usb2="00000016" w:usb3="00000000" w:csb0="00040001" w:csb1="00000000"/>
    <w:embedRegular r:id="rId9" w:subsetted="1" w:fontKey="{C645FED5-0596-440F-AC72-13763AC97286}"/>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DFE63816-D76A-4049-B366-97BD71BAE111}"/>
  </w:font>
  <w:font w:name="方正楷体_GB2312">
    <w:altName w:val="宋体"/>
    <w:panose1 w:val="02000000000000000000"/>
    <w:charset w:val="FFFFFF86"/>
    <w:family w:val="auto"/>
    <w:pitch w:val="default"/>
    <w:sig w:usb0="A00002BF" w:usb1="184F6CFA" w:usb2="00000012" w:usb3="00000000" w:csb0="00040001" w:csb1="00000000"/>
    <w:embedRegular r:id="rId11" w:fontKey="{B2F7B42B-9B71-4713-8051-A1B469173C52}"/>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B7FF758C-52F8-4EB5-B04A-BF4A27E2AA2A}"/>
    <w:embedBold r:id="rId13" w:subsetted="1" w:fontKey="{4C27D4FC-26D6-461A-9671-9A500CAA0F8B}"/>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29</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32</Pages>
  <Words>3265</Words>
  <Characters>18738</Characters>
  <Application>WPS Office_12.1.0.28043_F1E327BC-269C-435d-A152-05C5408002CA</Application>
  <DocSecurity>0</DocSecurity>
  <Lines>60</Lines>
  <Paragraphs>16</Paragraphs>
  <ScaleCrop>false</ScaleCrop>
  <Company>Microsoft</Company>
  <LinksUpToDate>false</LinksUpToDate>
  <CharactersWithSpaces>19174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